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28" w:type="dxa"/>
        <w:jc w:val="center"/>
        <w:tblLayout w:type="fixed"/>
        <w:tblLook w:val="04A0"/>
      </w:tblPr>
      <w:tblGrid>
        <w:gridCol w:w="2679"/>
        <w:gridCol w:w="3482"/>
        <w:gridCol w:w="623"/>
        <w:gridCol w:w="225"/>
        <w:gridCol w:w="418"/>
        <w:gridCol w:w="411"/>
        <w:gridCol w:w="232"/>
        <w:gridCol w:w="9"/>
        <w:gridCol w:w="649"/>
      </w:tblGrid>
      <w:tr w:rsidR="003B6B7F" w:rsidRPr="005F586E" w:rsidTr="003B6B7F">
        <w:trPr>
          <w:gridAfter w:val="1"/>
          <w:wAfter w:w="649" w:type="dxa"/>
          <w:cantSplit/>
          <w:trHeight w:val="300"/>
          <w:tblHeader/>
          <w:jc w:val="center"/>
        </w:trPr>
        <w:tc>
          <w:tcPr>
            <w:tcW w:w="2679" w:type="dxa"/>
            <w:tcBorders>
              <w:top w:val="nil"/>
              <w:left w:val="nil"/>
              <w:bottom w:val="nil"/>
              <w:right w:val="nil"/>
            </w:tcBorders>
            <w:shd w:val="clear" w:color="auto" w:fill="auto"/>
            <w:noWrap/>
            <w:vAlign w:val="bottom"/>
            <w:hideMark/>
          </w:tcPr>
          <w:p w:rsidR="003B6B7F" w:rsidRPr="005F586E" w:rsidRDefault="003B6B7F" w:rsidP="005F586E">
            <w:pPr>
              <w:spacing w:after="0" w:line="240" w:lineRule="auto"/>
              <w:rPr>
                <w:rFonts w:ascii="Calibri" w:eastAsia="Times New Roman" w:hAnsi="Calibri" w:cs="Calibri"/>
                <w:color w:val="000000"/>
              </w:rPr>
            </w:pPr>
          </w:p>
        </w:tc>
        <w:tc>
          <w:tcPr>
            <w:tcW w:w="3482" w:type="dxa"/>
            <w:tcBorders>
              <w:top w:val="nil"/>
              <w:left w:val="nil"/>
              <w:bottom w:val="nil"/>
              <w:right w:val="nil"/>
            </w:tcBorders>
            <w:shd w:val="clear" w:color="auto" w:fill="auto"/>
            <w:noWrap/>
            <w:vAlign w:val="bottom"/>
            <w:hideMark/>
          </w:tcPr>
          <w:p w:rsidR="003B6B7F" w:rsidRPr="005F586E" w:rsidRDefault="003B6B7F" w:rsidP="005F586E">
            <w:pPr>
              <w:spacing w:after="0" w:line="240" w:lineRule="auto"/>
              <w:rPr>
                <w:rFonts w:ascii="Calibri" w:eastAsia="Times New Roman" w:hAnsi="Calibri" w:cs="Calibri"/>
                <w:color w:val="000000"/>
              </w:rPr>
            </w:pPr>
          </w:p>
        </w:tc>
        <w:tc>
          <w:tcPr>
            <w:tcW w:w="848" w:type="dxa"/>
            <w:gridSpan w:val="2"/>
            <w:tcBorders>
              <w:top w:val="nil"/>
              <w:left w:val="nil"/>
              <w:bottom w:val="nil"/>
              <w:right w:val="nil"/>
            </w:tcBorders>
            <w:shd w:val="clear" w:color="auto" w:fill="auto"/>
            <w:noWrap/>
            <w:vAlign w:val="bottom"/>
            <w:hideMark/>
          </w:tcPr>
          <w:p w:rsidR="003B6B7F" w:rsidRPr="005F586E" w:rsidRDefault="003B6B7F" w:rsidP="005F586E">
            <w:pPr>
              <w:spacing w:after="0" w:line="240" w:lineRule="auto"/>
              <w:rPr>
                <w:rFonts w:ascii="Calibri" w:eastAsia="Times New Roman" w:hAnsi="Calibri" w:cs="Calibri"/>
                <w:color w:val="000000"/>
              </w:rPr>
            </w:pPr>
          </w:p>
        </w:tc>
        <w:tc>
          <w:tcPr>
            <w:tcW w:w="829" w:type="dxa"/>
            <w:gridSpan w:val="2"/>
            <w:tcBorders>
              <w:top w:val="nil"/>
              <w:left w:val="nil"/>
              <w:bottom w:val="nil"/>
              <w:right w:val="nil"/>
            </w:tcBorders>
            <w:shd w:val="clear" w:color="auto" w:fill="auto"/>
            <w:noWrap/>
            <w:vAlign w:val="bottom"/>
            <w:hideMark/>
          </w:tcPr>
          <w:p w:rsidR="003B6B7F" w:rsidRPr="005F586E" w:rsidRDefault="003B6B7F" w:rsidP="005F586E">
            <w:pPr>
              <w:spacing w:after="0" w:line="240" w:lineRule="auto"/>
              <w:rPr>
                <w:rFonts w:ascii="Calibri" w:eastAsia="Times New Roman" w:hAnsi="Calibri" w:cs="Calibri"/>
                <w:color w:val="000000"/>
              </w:rPr>
            </w:pPr>
          </w:p>
        </w:tc>
        <w:tc>
          <w:tcPr>
            <w:tcW w:w="241" w:type="dxa"/>
            <w:gridSpan w:val="2"/>
            <w:tcBorders>
              <w:top w:val="nil"/>
              <w:left w:val="nil"/>
              <w:bottom w:val="nil"/>
              <w:right w:val="nil"/>
            </w:tcBorders>
            <w:shd w:val="clear" w:color="auto" w:fill="auto"/>
            <w:noWrap/>
            <w:vAlign w:val="bottom"/>
            <w:hideMark/>
          </w:tcPr>
          <w:p w:rsidR="003B6B7F" w:rsidRPr="005F586E" w:rsidRDefault="003B6B7F" w:rsidP="005F586E">
            <w:pPr>
              <w:spacing w:after="0" w:line="240" w:lineRule="auto"/>
              <w:rPr>
                <w:rFonts w:ascii="Calibri" w:eastAsia="Times New Roman" w:hAnsi="Calibri" w:cs="Calibri"/>
                <w:color w:val="000000"/>
              </w:rPr>
            </w:pPr>
          </w:p>
        </w:tc>
      </w:tr>
      <w:tr w:rsidR="003B6B7F" w:rsidRPr="005F586E" w:rsidTr="00AE6819">
        <w:trPr>
          <w:trHeight w:val="683"/>
          <w:tblHeader/>
          <w:jc w:val="center"/>
        </w:trPr>
        <w:tc>
          <w:tcPr>
            <w:tcW w:w="8728" w:type="dxa"/>
            <w:gridSpan w:val="9"/>
            <w:tcBorders>
              <w:top w:val="single" w:sz="12" w:space="0" w:color="auto"/>
              <w:left w:val="single" w:sz="12" w:space="0" w:color="auto"/>
              <w:bottom w:val="single" w:sz="4" w:space="0" w:color="auto"/>
              <w:right w:val="single" w:sz="12" w:space="0" w:color="auto"/>
            </w:tcBorders>
            <w:shd w:val="clear" w:color="auto" w:fill="B8CCE4" w:themeFill="accent1" w:themeFillTint="66"/>
            <w:vAlign w:val="center"/>
            <w:hideMark/>
          </w:tcPr>
          <w:p w:rsidR="003B6B7F" w:rsidRPr="005F586E" w:rsidRDefault="003B6B7F" w:rsidP="00DA5F00">
            <w:pPr>
              <w:keepNext/>
              <w:spacing w:after="0" w:line="240" w:lineRule="auto"/>
              <w:jc w:val="center"/>
              <w:rPr>
                <w:rFonts w:ascii="Calibri" w:eastAsia="Times New Roman" w:hAnsi="Calibri" w:cs="Calibri"/>
                <w:b/>
                <w:bCs/>
                <w:color w:val="000000"/>
              </w:rPr>
            </w:pPr>
            <w:r w:rsidRPr="000C1420">
              <w:rPr>
                <w:rFonts w:ascii="Calibri" w:eastAsia="Times New Roman" w:hAnsi="Calibri" w:cs="Calibri"/>
                <w:b/>
                <w:bCs/>
                <w:color w:val="000000"/>
                <w:sz w:val="28"/>
                <w:szCs w:val="28"/>
              </w:rPr>
              <w:t>Systems Manual Outline</w:t>
            </w:r>
          </w:p>
        </w:tc>
      </w:tr>
      <w:tr w:rsidR="003B6B7F" w:rsidRPr="005F586E" w:rsidTr="00AE6819">
        <w:trPr>
          <w:trHeight w:val="300"/>
          <w:tblHeader/>
          <w:jc w:val="center"/>
        </w:trPr>
        <w:tc>
          <w:tcPr>
            <w:tcW w:w="2679" w:type="dxa"/>
            <w:vMerge w:val="restart"/>
            <w:tcBorders>
              <w:top w:val="single" w:sz="4" w:space="0" w:color="auto"/>
              <w:left w:val="single" w:sz="12" w:space="0" w:color="auto"/>
              <w:bottom w:val="single" w:sz="4" w:space="0" w:color="auto"/>
              <w:right w:val="single" w:sz="4" w:space="0" w:color="auto"/>
            </w:tcBorders>
            <w:shd w:val="clear" w:color="auto" w:fill="B8CCE4" w:themeFill="accent1" w:themeFillTint="66"/>
            <w:vAlign w:val="center"/>
            <w:hideMark/>
          </w:tcPr>
          <w:p w:rsidR="003B6B7F" w:rsidRPr="005F586E" w:rsidRDefault="003B6B7F" w:rsidP="00DA5F00">
            <w:pPr>
              <w:keepNext/>
              <w:spacing w:after="0" w:line="240" w:lineRule="auto"/>
              <w:jc w:val="center"/>
              <w:rPr>
                <w:rFonts w:ascii="Calibri" w:eastAsia="Times New Roman" w:hAnsi="Calibri" w:cs="Calibri"/>
                <w:b/>
                <w:bCs/>
                <w:color w:val="000000"/>
              </w:rPr>
            </w:pPr>
            <w:r w:rsidRPr="005F586E">
              <w:rPr>
                <w:rFonts w:ascii="Calibri" w:eastAsia="Times New Roman" w:hAnsi="Calibri" w:cs="Calibri"/>
                <w:b/>
                <w:bCs/>
                <w:color w:val="000000"/>
              </w:rPr>
              <w:t>Section</w:t>
            </w:r>
          </w:p>
        </w:tc>
        <w:tc>
          <w:tcPr>
            <w:tcW w:w="3482"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3B6B7F" w:rsidRPr="005F586E" w:rsidRDefault="003B6B7F" w:rsidP="00DA5F00">
            <w:pPr>
              <w:keepNext/>
              <w:spacing w:after="0" w:line="240" w:lineRule="auto"/>
              <w:jc w:val="center"/>
              <w:rPr>
                <w:rFonts w:ascii="Calibri" w:eastAsia="Times New Roman" w:hAnsi="Calibri" w:cs="Calibri"/>
                <w:b/>
                <w:bCs/>
                <w:color w:val="000000"/>
              </w:rPr>
            </w:pPr>
            <w:r w:rsidRPr="005F586E">
              <w:rPr>
                <w:rFonts w:ascii="Calibri" w:eastAsia="Times New Roman" w:hAnsi="Calibri" w:cs="Calibri"/>
                <w:b/>
                <w:bCs/>
                <w:color w:val="000000"/>
              </w:rPr>
              <w:t>Description</w:t>
            </w:r>
          </w:p>
        </w:tc>
        <w:tc>
          <w:tcPr>
            <w:tcW w:w="2567" w:type="dxa"/>
            <w:gridSpan w:val="7"/>
            <w:tcBorders>
              <w:top w:val="single" w:sz="4" w:space="0" w:color="auto"/>
              <w:left w:val="nil"/>
              <w:bottom w:val="single" w:sz="4" w:space="0" w:color="auto"/>
              <w:right w:val="single" w:sz="12" w:space="0" w:color="auto"/>
            </w:tcBorders>
            <w:shd w:val="clear" w:color="auto" w:fill="B8CCE4" w:themeFill="accent1" w:themeFillTint="66"/>
            <w:noWrap/>
            <w:vAlign w:val="bottom"/>
            <w:hideMark/>
          </w:tcPr>
          <w:p w:rsidR="003B6B7F" w:rsidRPr="005F586E" w:rsidRDefault="003B6B7F" w:rsidP="00DA5F00">
            <w:pPr>
              <w:keepNext/>
              <w:spacing w:after="0" w:line="240" w:lineRule="auto"/>
              <w:jc w:val="center"/>
              <w:rPr>
                <w:rFonts w:ascii="Calibri" w:eastAsia="Times New Roman" w:hAnsi="Calibri" w:cs="Calibri"/>
                <w:b/>
                <w:bCs/>
                <w:color w:val="000000"/>
              </w:rPr>
            </w:pPr>
            <w:r w:rsidRPr="005F586E">
              <w:rPr>
                <w:rFonts w:ascii="Calibri" w:eastAsia="Times New Roman" w:hAnsi="Calibri" w:cs="Calibri"/>
                <w:b/>
                <w:bCs/>
                <w:color w:val="000000"/>
              </w:rPr>
              <w:t>Prepared by</w:t>
            </w:r>
          </w:p>
        </w:tc>
      </w:tr>
      <w:tr w:rsidR="003B6B7F" w:rsidRPr="005F586E" w:rsidTr="00AE6819">
        <w:trPr>
          <w:trHeight w:val="1080"/>
          <w:tblHeader/>
          <w:jc w:val="center"/>
        </w:trPr>
        <w:tc>
          <w:tcPr>
            <w:tcW w:w="2679" w:type="dxa"/>
            <w:vMerge/>
            <w:tcBorders>
              <w:top w:val="single" w:sz="4" w:space="0" w:color="auto"/>
              <w:left w:val="single" w:sz="12" w:space="0" w:color="auto"/>
              <w:bottom w:val="single" w:sz="12" w:space="0" w:color="auto"/>
              <w:right w:val="single" w:sz="4" w:space="0" w:color="auto"/>
            </w:tcBorders>
            <w:shd w:val="clear" w:color="auto" w:fill="B8CCE4" w:themeFill="accent1" w:themeFillTint="66"/>
            <w:vAlign w:val="center"/>
            <w:hideMark/>
          </w:tcPr>
          <w:p w:rsidR="003B6B7F" w:rsidRPr="005F586E" w:rsidRDefault="003B6B7F" w:rsidP="00DA5F00">
            <w:pPr>
              <w:keepNext/>
              <w:spacing w:after="0" w:line="240" w:lineRule="auto"/>
              <w:rPr>
                <w:rFonts w:ascii="Calibri" w:eastAsia="Times New Roman" w:hAnsi="Calibri" w:cs="Calibri"/>
                <w:b/>
                <w:bCs/>
                <w:color w:val="000000"/>
              </w:rPr>
            </w:pPr>
          </w:p>
        </w:tc>
        <w:tc>
          <w:tcPr>
            <w:tcW w:w="3482" w:type="dxa"/>
            <w:vMerge/>
            <w:tcBorders>
              <w:top w:val="single" w:sz="4" w:space="0" w:color="auto"/>
              <w:left w:val="single" w:sz="4" w:space="0" w:color="auto"/>
              <w:bottom w:val="single" w:sz="12" w:space="0" w:color="auto"/>
              <w:right w:val="single" w:sz="4" w:space="0" w:color="auto"/>
            </w:tcBorders>
            <w:shd w:val="clear" w:color="auto" w:fill="B8CCE4" w:themeFill="accent1" w:themeFillTint="66"/>
            <w:vAlign w:val="center"/>
            <w:hideMark/>
          </w:tcPr>
          <w:p w:rsidR="003B6B7F" w:rsidRPr="005F586E" w:rsidRDefault="003B6B7F" w:rsidP="00DA5F00">
            <w:pPr>
              <w:keepNext/>
              <w:spacing w:after="0" w:line="240" w:lineRule="auto"/>
              <w:rPr>
                <w:rFonts w:ascii="Calibri" w:eastAsia="Times New Roman" w:hAnsi="Calibri" w:cs="Calibri"/>
                <w:b/>
                <w:bCs/>
                <w:color w:val="000000"/>
              </w:rPr>
            </w:pPr>
          </w:p>
        </w:tc>
        <w:tc>
          <w:tcPr>
            <w:tcW w:w="623" w:type="dxa"/>
            <w:tcBorders>
              <w:top w:val="nil"/>
              <w:left w:val="nil"/>
              <w:bottom w:val="single" w:sz="12" w:space="0" w:color="auto"/>
              <w:right w:val="single" w:sz="4" w:space="0" w:color="auto"/>
            </w:tcBorders>
            <w:shd w:val="clear" w:color="auto" w:fill="B8CCE4" w:themeFill="accent1" w:themeFillTint="66"/>
            <w:textDirection w:val="btLr"/>
            <w:vAlign w:val="center"/>
            <w:hideMark/>
          </w:tcPr>
          <w:p w:rsidR="003B6B7F" w:rsidRPr="005F586E" w:rsidRDefault="003B6B7F" w:rsidP="00DA5F00">
            <w:pPr>
              <w:keepNext/>
              <w:spacing w:after="0" w:line="240" w:lineRule="auto"/>
              <w:jc w:val="center"/>
              <w:rPr>
                <w:rFonts w:ascii="Calibri" w:eastAsia="Times New Roman" w:hAnsi="Calibri" w:cs="Calibri"/>
                <w:b/>
                <w:bCs/>
                <w:color w:val="000000"/>
              </w:rPr>
            </w:pPr>
            <w:r w:rsidRPr="005F586E">
              <w:rPr>
                <w:rFonts w:ascii="Calibri" w:eastAsia="Times New Roman" w:hAnsi="Calibri" w:cs="Calibri"/>
                <w:b/>
                <w:bCs/>
                <w:color w:val="000000"/>
              </w:rPr>
              <w:t>Cx Agent</w:t>
            </w:r>
          </w:p>
        </w:tc>
        <w:tc>
          <w:tcPr>
            <w:tcW w:w="643" w:type="dxa"/>
            <w:gridSpan w:val="2"/>
            <w:tcBorders>
              <w:top w:val="nil"/>
              <w:left w:val="nil"/>
              <w:bottom w:val="single" w:sz="12" w:space="0" w:color="auto"/>
              <w:right w:val="single" w:sz="4" w:space="0" w:color="auto"/>
            </w:tcBorders>
            <w:shd w:val="clear" w:color="auto" w:fill="B8CCE4" w:themeFill="accent1" w:themeFillTint="66"/>
            <w:textDirection w:val="btLr"/>
            <w:vAlign w:val="center"/>
            <w:hideMark/>
          </w:tcPr>
          <w:p w:rsidR="003B6B7F" w:rsidRPr="005F586E" w:rsidRDefault="003B6B7F" w:rsidP="00DA5F00">
            <w:pPr>
              <w:keepNext/>
              <w:spacing w:after="0" w:line="240" w:lineRule="auto"/>
              <w:jc w:val="center"/>
              <w:rPr>
                <w:rFonts w:ascii="Calibri" w:eastAsia="Times New Roman" w:hAnsi="Calibri" w:cs="Calibri"/>
                <w:b/>
                <w:bCs/>
                <w:color w:val="000000"/>
              </w:rPr>
            </w:pPr>
            <w:r w:rsidRPr="005F586E">
              <w:rPr>
                <w:rFonts w:ascii="Calibri" w:eastAsia="Times New Roman" w:hAnsi="Calibri" w:cs="Calibri"/>
                <w:b/>
                <w:bCs/>
                <w:color w:val="000000"/>
              </w:rPr>
              <w:t>Contractor</w:t>
            </w:r>
          </w:p>
        </w:tc>
        <w:tc>
          <w:tcPr>
            <w:tcW w:w="643" w:type="dxa"/>
            <w:gridSpan w:val="2"/>
            <w:tcBorders>
              <w:top w:val="nil"/>
              <w:left w:val="nil"/>
              <w:bottom w:val="single" w:sz="12" w:space="0" w:color="auto"/>
              <w:right w:val="single" w:sz="4" w:space="0" w:color="auto"/>
            </w:tcBorders>
            <w:shd w:val="clear" w:color="auto" w:fill="B8CCE4" w:themeFill="accent1" w:themeFillTint="66"/>
            <w:textDirection w:val="btLr"/>
            <w:vAlign w:val="center"/>
            <w:hideMark/>
          </w:tcPr>
          <w:p w:rsidR="003B6B7F" w:rsidRPr="005F586E" w:rsidRDefault="003B6B7F" w:rsidP="00DA5F00">
            <w:pPr>
              <w:keepNext/>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VA</w:t>
            </w:r>
          </w:p>
        </w:tc>
        <w:tc>
          <w:tcPr>
            <w:tcW w:w="658" w:type="dxa"/>
            <w:gridSpan w:val="2"/>
            <w:tcBorders>
              <w:top w:val="nil"/>
              <w:left w:val="nil"/>
              <w:bottom w:val="single" w:sz="12" w:space="0" w:color="auto"/>
              <w:right w:val="single" w:sz="12" w:space="0" w:color="auto"/>
            </w:tcBorders>
            <w:shd w:val="clear" w:color="auto" w:fill="B8CCE4" w:themeFill="accent1" w:themeFillTint="66"/>
            <w:textDirection w:val="btLr"/>
            <w:vAlign w:val="center"/>
            <w:hideMark/>
          </w:tcPr>
          <w:p w:rsidR="003B6B7F" w:rsidRPr="005F586E" w:rsidRDefault="003B6B7F" w:rsidP="00DA5F00">
            <w:pPr>
              <w:keepNext/>
              <w:spacing w:after="0" w:line="240" w:lineRule="auto"/>
              <w:jc w:val="center"/>
              <w:rPr>
                <w:rFonts w:ascii="Calibri" w:eastAsia="Times New Roman" w:hAnsi="Calibri" w:cs="Calibri"/>
                <w:b/>
                <w:bCs/>
                <w:color w:val="000000"/>
              </w:rPr>
            </w:pPr>
            <w:r w:rsidRPr="005F586E">
              <w:rPr>
                <w:rFonts w:ascii="Calibri" w:eastAsia="Times New Roman" w:hAnsi="Calibri" w:cs="Calibri"/>
                <w:b/>
                <w:bCs/>
                <w:color w:val="000000"/>
              </w:rPr>
              <w:t>Designer</w:t>
            </w:r>
          </w:p>
        </w:tc>
      </w:tr>
      <w:tr w:rsidR="003B6B7F" w:rsidRPr="005F586E" w:rsidTr="00AE6819">
        <w:trPr>
          <w:trHeight w:val="6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t>Index of Systems Manuals</w:t>
            </w:r>
          </w:p>
        </w:tc>
        <w:tc>
          <w:tcPr>
            <w:tcW w:w="3482" w:type="dxa"/>
            <w:tcBorders>
              <w:top w:val="single" w:sz="12" w:space="0" w:color="auto"/>
              <w:left w:val="nil"/>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Table of Contents/Index of Systems Manuals</w:t>
            </w:r>
          </w:p>
        </w:tc>
        <w:tc>
          <w:tcPr>
            <w:tcW w:w="623" w:type="dxa"/>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3482" w:type="dxa"/>
            <w:tcBorders>
              <w:top w:val="single" w:sz="12" w:space="0" w:color="auto"/>
              <w:left w:val="nil"/>
              <w:bottom w:val="single" w:sz="12"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Pr>
                <w:rFonts w:ascii="Calibri" w:eastAsia="Times New Roman" w:hAnsi="Calibri" w:cs="Calibri"/>
                <w:b/>
                <w:bCs/>
                <w:color w:val="000000"/>
              </w:rPr>
              <w:t>Design Narrative</w:t>
            </w:r>
          </w:p>
        </w:tc>
        <w:tc>
          <w:tcPr>
            <w:tcW w:w="3482" w:type="dxa"/>
            <w:tcBorders>
              <w:top w:val="single" w:sz="12" w:space="0" w:color="auto"/>
              <w:left w:val="nil"/>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Final Version</w:t>
            </w:r>
          </w:p>
        </w:tc>
        <w:tc>
          <w:tcPr>
            <w:tcW w:w="623" w:type="dxa"/>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3482" w:type="dxa"/>
            <w:tcBorders>
              <w:top w:val="single" w:sz="12" w:space="0" w:color="auto"/>
              <w:left w:val="nil"/>
              <w:bottom w:val="single" w:sz="12"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t>Facility Data:</w:t>
            </w:r>
          </w:p>
        </w:tc>
        <w:tc>
          <w:tcPr>
            <w:tcW w:w="3482" w:type="dxa"/>
            <w:tcBorders>
              <w:top w:val="single" w:sz="12" w:space="0" w:color="auto"/>
              <w:left w:val="nil"/>
              <w:bottom w:val="single" w:sz="12" w:space="0" w:color="auto"/>
              <w:right w:val="single" w:sz="4" w:space="0" w:color="auto"/>
            </w:tcBorders>
            <w:shd w:val="clear" w:color="000000" w:fill="D8D8D8"/>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trHeight w:val="1200"/>
          <w:jc w:val="center"/>
        </w:trPr>
        <w:tc>
          <w:tcPr>
            <w:tcW w:w="2679"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Floor plans (11x17)</w:t>
            </w:r>
            <w:bookmarkStart w:id="0" w:name="_GoBack"/>
            <w:bookmarkEnd w:id="0"/>
          </w:p>
        </w:tc>
        <w:tc>
          <w:tcPr>
            <w:tcW w:w="3482" w:type="dxa"/>
            <w:tcBorders>
              <w:top w:val="single" w:sz="12" w:space="0" w:color="auto"/>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Uncluttered floor plans that include only room numbers, type or function of space, and overall all facility dimensions.</w:t>
            </w:r>
          </w:p>
        </w:tc>
        <w:tc>
          <w:tcPr>
            <w:tcW w:w="623" w:type="dxa"/>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3B6B7F" w:rsidRPr="005F586E" w:rsidTr="00AE6819">
        <w:trPr>
          <w:trHeight w:val="1232"/>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Utility Connection and Cutoff Plans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Provide utility site and floor plans that indicate the exterior and main interior connection and cutoff points for all utilities.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3B6B7F" w:rsidRPr="005F586E" w:rsidTr="00AE6819">
        <w:trPr>
          <w:trHeight w:val="12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Extended Warranty Information</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List all warranties for products, equipment, components and sub-components whose duration exceeds one year.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2015"/>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Equipment Listing</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A table that lists major equipment shown on design equipment schedules, item descriptions, locations, model numbers, name/address/phone of manufacturer, supplier, contractor, sub-contractor.</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9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HVAC Filters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Table that lists the quantity, type, size</w:t>
            </w:r>
            <w:r>
              <w:rPr>
                <w:rFonts w:ascii="Calibri" w:eastAsia="Times New Roman" w:hAnsi="Calibri" w:cs="Calibri"/>
                <w:color w:val="000000"/>
              </w:rPr>
              <w:t>,</w:t>
            </w:r>
            <w:r w:rsidRPr="005F586E">
              <w:rPr>
                <w:rFonts w:ascii="Calibri" w:eastAsia="Times New Roman" w:hAnsi="Calibri" w:cs="Calibri"/>
                <w:color w:val="000000"/>
              </w:rPr>
              <w:t xml:space="preserve"> and location of each HVAC filter.</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26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lastRenderedPageBreak/>
              <w:t>Supply inventory Requirements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List of maintenance and repair supplies (spare parts, fuels, lubricants) required to ensure continued operation without unreasonable delays.  Identify and list parts and supplies that have long purchase lead times.  Give special attention to facilities at remote locations.</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1502"/>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As-built drawing list</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List of all as-built or record drawings and specifications.  Include drawing number and title.  Identify where the drawings and specifications will be stored and filed.</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3B6B7F" w:rsidRPr="005F586E" w:rsidTr="00AE6819">
        <w:trPr>
          <w:cantSplit/>
          <w:trHeight w:val="900"/>
          <w:jc w:val="center"/>
        </w:trPr>
        <w:tc>
          <w:tcPr>
            <w:tcW w:w="2679" w:type="dxa"/>
            <w:tcBorders>
              <w:top w:val="nil"/>
              <w:left w:val="single" w:sz="12" w:space="0" w:color="auto"/>
              <w:bottom w:val="single" w:sz="12"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Recommended Operational Record-keeping procedures, forms, logs, rationale for each</w:t>
            </w:r>
          </w:p>
        </w:tc>
        <w:tc>
          <w:tcPr>
            <w:tcW w:w="3482" w:type="dxa"/>
            <w:tcBorders>
              <w:top w:val="nil"/>
              <w:left w:val="nil"/>
              <w:bottom w:val="single" w:sz="12"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Sample blank forms, logs, etc. with basic instructions for use</w:t>
            </w:r>
          </w:p>
        </w:tc>
        <w:tc>
          <w:tcPr>
            <w:tcW w:w="623" w:type="dxa"/>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12"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cantSplit/>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t>System Information</w:t>
            </w:r>
          </w:p>
        </w:tc>
        <w:tc>
          <w:tcPr>
            <w:tcW w:w="3482" w:type="dxa"/>
            <w:tcBorders>
              <w:top w:val="single" w:sz="12" w:space="0" w:color="auto"/>
              <w:left w:val="nil"/>
              <w:bottom w:val="single" w:sz="12" w:space="0" w:color="auto"/>
              <w:right w:val="single" w:sz="4" w:space="0" w:color="auto"/>
            </w:tcBorders>
            <w:shd w:val="clear" w:color="000000" w:fill="D8D8D8"/>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cantSplit/>
          <w:trHeight w:val="900"/>
          <w:jc w:val="center"/>
        </w:trPr>
        <w:tc>
          <w:tcPr>
            <w:tcW w:w="2679"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System Description</w:t>
            </w:r>
          </w:p>
        </w:tc>
        <w:tc>
          <w:tcPr>
            <w:tcW w:w="3482" w:type="dxa"/>
            <w:tcBorders>
              <w:top w:val="single" w:sz="12" w:space="0" w:color="auto"/>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Narrative system description, including function, capacity, major components, etc. </w:t>
            </w:r>
          </w:p>
        </w:tc>
        <w:tc>
          <w:tcPr>
            <w:tcW w:w="623" w:type="dxa"/>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cantSplit/>
          <w:trHeight w:val="9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System Schematics, one-line diagrams, flow diagrams, etc.</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Flow diagram indicating system liquid, air, or gas flow during normal conditions.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cantSplit/>
          <w:trHeight w:val="12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Diagrammatic Plans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Floor plans indicating location of equipment and configuration of the system installation.</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cantSplit/>
          <w:trHeight w:val="9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Safety Information</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List of all personnel hazards and equipment safety precautions</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cantSplit/>
          <w:trHeight w:val="15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lastRenderedPageBreak/>
              <w:t>Valve List</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List of all valves associated with system.  Show valve type, identification number, function, location and normal operating position</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cantSplit/>
          <w:trHeight w:val="15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Start-up and Shut-down procedures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Step-by-step procedures to bring systems from </w:t>
            </w:r>
            <w:r>
              <w:rPr>
                <w:rFonts w:ascii="Calibri" w:eastAsia="Times New Roman" w:hAnsi="Calibri" w:cs="Calibri"/>
                <w:color w:val="000000"/>
              </w:rPr>
              <w:t xml:space="preserve">shutdown </w:t>
            </w:r>
            <w:r w:rsidRPr="005F586E">
              <w:rPr>
                <w:rFonts w:ascii="Calibri" w:eastAsia="Times New Roman" w:hAnsi="Calibri" w:cs="Calibri"/>
                <w:color w:val="000000"/>
              </w:rPr>
              <w:t>to operational configurations and from operating to shutdown status.</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cantSplit/>
          <w:trHeight w:val="1682"/>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Operating procedures/sequences for Normal, abnormal, and emergency modes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Discussion of the normal operation and control of the system.  Emergency operating instructions in the event of equipment malfunctions, fire, explosions, spills, or other contingencies.</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9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Operating instructions for integrated systems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Discussion of operating procedures for multiple, integrated systems.</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900"/>
          <w:jc w:val="center"/>
        </w:trPr>
        <w:tc>
          <w:tcPr>
            <w:tcW w:w="2679" w:type="dxa"/>
            <w:tcBorders>
              <w:top w:val="nil"/>
              <w:left w:val="single" w:sz="12" w:space="0" w:color="auto"/>
              <w:bottom w:val="single" w:sz="12"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Ongoing Optimization Guide</w:t>
            </w:r>
          </w:p>
        </w:tc>
        <w:tc>
          <w:tcPr>
            <w:tcW w:w="3482" w:type="dxa"/>
            <w:tcBorders>
              <w:top w:val="nil"/>
              <w:left w:val="nil"/>
              <w:bottom w:val="single" w:sz="12" w:space="0" w:color="auto"/>
              <w:right w:val="single" w:sz="4" w:space="0" w:color="auto"/>
            </w:tcBorders>
            <w:shd w:val="clear" w:color="auto" w:fill="auto"/>
            <w:vAlign w:val="center"/>
            <w:hideMark/>
          </w:tcPr>
          <w:p w:rsidR="003B6B7F" w:rsidRPr="005F586E" w:rsidRDefault="003B6B7F" w:rsidP="00313D45">
            <w:pPr>
              <w:spacing w:after="0" w:line="240" w:lineRule="auto"/>
              <w:rPr>
                <w:rFonts w:ascii="Calibri" w:eastAsia="Times New Roman" w:hAnsi="Calibri" w:cs="Calibri"/>
                <w:color w:val="000000"/>
              </w:rPr>
            </w:pPr>
            <w:r w:rsidRPr="005F586E">
              <w:rPr>
                <w:rFonts w:ascii="Calibri" w:eastAsia="Times New Roman" w:hAnsi="Calibri" w:cs="Calibri"/>
                <w:color w:val="000000"/>
              </w:rPr>
              <w:t>Procedures</w:t>
            </w:r>
            <w:r>
              <w:rPr>
                <w:rFonts w:ascii="Calibri" w:eastAsia="Times New Roman" w:hAnsi="Calibri" w:cs="Calibri"/>
                <w:color w:val="000000"/>
              </w:rPr>
              <w:t xml:space="preserve"> for anal</w:t>
            </w:r>
            <w:r w:rsidRPr="005F586E">
              <w:rPr>
                <w:rFonts w:ascii="Calibri" w:eastAsia="Times New Roman" w:hAnsi="Calibri" w:cs="Calibri"/>
                <w:color w:val="000000"/>
              </w:rPr>
              <w:t>yzing and maintaining optimal system operations</w:t>
            </w:r>
          </w:p>
        </w:tc>
        <w:tc>
          <w:tcPr>
            <w:tcW w:w="623" w:type="dxa"/>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12"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lastRenderedPageBreak/>
              <w:t xml:space="preserve">Preventive Maintenance </w:t>
            </w:r>
          </w:p>
        </w:tc>
        <w:tc>
          <w:tcPr>
            <w:tcW w:w="3482" w:type="dxa"/>
            <w:tcBorders>
              <w:top w:val="single" w:sz="12" w:space="0" w:color="auto"/>
              <w:left w:val="nil"/>
              <w:bottom w:val="single" w:sz="12" w:space="0" w:color="auto"/>
              <w:right w:val="single" w:sz="4" w:space="0" w:color="auto"/>
            </w:tcBorders>
            <w:shd w:val="clear" w:color="000000" w:fill="D8D8D8"/>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trHeight w:val="3482"/>
          <w:jc w:val="center"/>
        </w:trPr>
        <w:tc>
          <w:tcPr>
            <w:tcW w:w="2679"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Preventive Maintenance Plan and Schedule</w:t>
            </w:r>
          </w:p>
        </w:tc>
        <w:tc>
          <w:tcPr>
            <w:tcW w:w="3482" w:type="dxa"/>
            <w:tcBorders>
              <w:top w:val="single" w:sz="12" w:space="0" w:color="auto"/>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PM Plan using manufacturer's recommendations and sound engineering practice.  Include major pieces of equipment.  Provide a check sheet that details maintenance tasks and associated frequencies.  Provide an annual schedule indicating when maintenance tasks should be performed such that work is spread as evenly as possible throughout the year.</w:t>
            </w:r>
          </w:p>
        </w:tc>
        <w:tc>
          <w:tcPr>
            <w:tcW w:w="623" w:type="dxa"/>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2852"/>
          <w:jc w:val="center"/>
        </w:trPr>
        <w:tc>
          <w:tcPr>
            <w:tcW w:w="2679" w:type="dxa"/>
            <w:tcBorders>
              <w:top w:val="nil"/>
              <w:left w:val="single" w:sz="12" w:space="0" w:color="auto"/>
              <w:bottom w:val="single" w:sz="12"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Preventive Maintenance procedures</w:t>
            </w:r>
          </w:p>
        </w:tc>
        <w:tc>
          <w:tcPr>
            <w:tcW w:w="3482" w:type="dxa"/>
            <w:tcBorders>
              <w:top w:val="nil"/>
              <w:left w:val="nil"/>
              <w:bottom w:val="single" w:sz="12"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Provide Task Card for each individual maintenance task identified on the PM Plan and Schedule.  Include all major pieces of equipment.  Include Lock out/Tag out precautions, required skill level, number of personnel needed, frequency, special tools, parts needed, and the estimated time required to complete the task.</w:t>
            </w:r>
          </w:p>
        </w:tc>
        <w:tc>
          <w:tcPr>
            <w:tcW w:w="623" w:type="dxa"/>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12"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lastRenderedPageBreak/>
              <w:t>Repair</w:t>
            </w:r>
          </w:p>
        </w:tc>
        <w:tc>
          <w:tcPr>
            <w:tcW w:w="3482" w:type="dxa"/>
            <w:tcBorders>
              <w:top w:val="single" w:sz="12" w:space="0" w:color="auto"/>
              <w:left w:val="nil"/>
              <w:bottom w:val="single" w:sz="12" w:space="0" w:color="auto"/>
              <w:right w:val="single" w:sz="4" w:space="0" w:color="auto"/>
            </w:tcBorders>
            <w:shd w:val="clear" w:color="000000" w:fill="D8D8D8"/>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trHeight w:val="4922"/>
          <w:jc w:val="center"/>
        </w:trPr>
        <w:tc>
          <w:tcPr>
            <w:tcW w:w="2679"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Troubleshooting Guides and Diagnostic Techniques</w:t>
            </w:r>
          </w:p>
        </w:tc>
        <w:tc>
          <w:tcPr>
            <w:tcW w:w="3482" w:type="dxa"/>
            <w:tcBorders>
              <w:top w:val="single" w:sz="12" w:space="0" w:color="auto"/>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Step-by-step procedures for diagnosing, isolating, and correcting system malfunctions.  State indications or symptoms of trouble; sequential </w:t>
            </w:r>
            <w:proofErr w:type="gramStart"/>
            <w:r w:rsidRPr="005F586E">
              <w:rPr>
                <w:rFonts w:ascii="Calibri" w:eastAsia="Times New Roman" w:hAnsi="Calibri" w:cs="Calibri"/>
                <w:color w:val="000000"/>
              </w:rPr>
              <w:t>instructions ,</w:t>
            </w:r>
            <w:proofErr w:type="gramEnd"/>
            <w:r w:rsidRPr="005F586E">
              <w:rPr>
                <w:rFonts w:ascii="Calibri" w:eastAsia="Times New Roman" w:hAnsi="Calibri" w:cs="Calibri"/>
                <w:color w:val="000000"/>
              </w:rPr>
              <w:t xml:space="preserve"> including check and tests to be performed and conditions to be south, to determine the cause; and remedial measures to return the equipment and </w:t>
            </w:r>
            <w:proofErr w:type="spellStart"/>
            <w:r w:rsidRPr="005F586E">
              <w:rPr>
                <w:rFonts w:ascii="Calibri" w:eastAsia="Times New Roman" w:hAnsi="Calibri" w:cs="Calibri"/>
                <w:color w:val="000000"/>
              </w:rPr>
              <w:t>systm</w:t>
            </w:r>
            <w:proofErr w:type="spellEnd"/>
            <w:r w:rsidRPr="005F586E">
              <w:rPr>
                <w:rFonts w:ascii="Calibri" w:eastAsia="Times New Roman" w:hAnsi="Calibri" w:cs="Calibri"/>
                <w:color w:val="000000"/>
              </w:rPr>
              <w:t xml:space="preserve"> to operating condition.  Identify special test equipment required to perform the procedures.  Start the troubleshooting guide at the system level and proceed to a level where detailed manufacturer's troubleshooting procedures for the system's components can be referenced.</w:t>
            </w:r>
          </w:p>
        </w:tc>
        <w:tc>
          <w:tcPr>
            <w:tcW w:w="623" w:type="dxa"/>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98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Repair Procedures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Repair instructions required to restore equipment to proper operating condition and standards.</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1412"/>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Removal and Replacement Instructions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Provide or refer to the manufacturer's data for the instructions for the removal and replacement of equipment components.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6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Schedule for calibrating sen</w:t>
            </w:r>
            <w:r>
              <w:rPr>
                <w:rFonts w:ascii="Calibri" w:eastAsia="Times New Roman" w:hAnsi="Calibri" w:cs="Calibri"/>
                <w:color w:val="000000"/>
              </w:rPr>
              <w:t>s</w:t>
            </w:r>
            <w:r w:rsidRPr="005F586E">
              <w:rPr>
                <w:rFonts w:ascii="Calibri" w:eastAsia="Times New Roman" w:hAnsi="Calibri" w:cs="Calibri"/>
                <w:color w:val="000000"/>
              </w:rPr>
              <w:t>ors and actuators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r>
              <w:rPr>
                <w:rFonts w:ascii="Calibri" w:eastAsia="Times New Roman" w:hAnsi="Calibri" w:cs="Calibri"/>
                <w:color w:val="000000"/>
              </w:rPr>
              <w:t>Table of DDC sensors and actuators that require calibration with recommendations for calibration frequency.</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nil"/>
              <w:left w:val="single" w:sz="12" w:space="0" w:color="auto"/>
              <w:bottom w:val="single" w:sz="12"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Parts and Recommended Spares</w:t>
            </w:r>
          </w:p>
        </w:tc>
        <w:tc>
          <w:tcPr>
            <w:tcW w:w="3482" w:type="dxa"/>
            <w:tcBorders>
              <w:top w:val="nil"/>
              <w:left w:val="nil"/>
              <w:bottom w:val="single" w:sz="12"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r>
              <w:rPr>
                <w:rFonts w:ascii="Calibri" w:eastAsia="Times New Roman" w:hAnsi="Calibri" w:cs="Calibri"/>
                <w:color w:val="000000"/>
              </w:rPr>
              <w:t>Listing of recommended critical spare and long lead parts and spares.</w:t>
            </w:r>
          </w:p>
        </w:tc>
        <w:tc>
          <w:tcPr>
            <w:tcW w:w="623" w:type="dxa"/>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12"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lastRenderedPageBreak/>
              <w:t>Manufacturer's Data</w:t>
            </w:r>
          </w:p>
        </w:tc>
        <w:tc>
          <w:tcPr>
            <w:tcW w:w="3482" w:type="dxa"/>
            <w:tcBorders>
              <w:top w:val="single" w:sz="12" w:space="0" w:color="auto"/>
              <w:left w:val="nil"/>
              <w:bottom w:val="single" w:sz="12" w:space="0" w:color="auto"/>
              <w:right w:val="single" w:sz="4" w:space="0" w:color="auto"/>
            </w:tcBorders>
            <w:shd w:val="clear" w:color="000000" w:fill="D8D8D8"/>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12" w:space="0" w:color="auto"/>
              <w:right w:val="single" w:sz="4"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12" w:space="0" w:color="auto"/>
              <w:right w:val="single" w:sz="12" w:space="0" w:color="auto"/>
            </w:tcBorders>
            <w:shd w:val="clear" w:color="000000" w:fill="D8D8D8"/>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trHeight w:val="600"/>
          <w:jc w:val="center"/>
        </w:trPr>
        <w:tc>
          <w:tcPr>
            <w:tcW w:w="2679"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Operation and Maintenance Data</w:t>
            </w:r>
          </w:p>
        </w:tc>
        <w:tc>
          <w:tcPr>
            <w:tcW w:w="3482" w:type="dxa"/>
            <w:tcBorders>
              <w:top w:val="single" w:sz="12" w:space="0" w:color="auto"/>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O&amp;M data package per the technical specifications</w:t>
            </w:r>
          </w:p>
        </w:tc>
        <w:tc>
          <w:tcPr>
            <w:tcW w:w="623" w:type="dxa"/>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single" w:sz="12" w:space="0" w:color="auto"/>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single" w:sz="12" w:space="0" w:color="auto"/>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12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313D45">
            <w:pPr>
              <w:spacing w:after="0" w:line="240" w:lineRule="auto"/>
              <w:ind w:left="720"/>
              <w:rPr>
                <w:rFonts w:ascii="Calibri" w:eastAsia="Times New Roman" w:hAnsi="Calibri" w:cs="Calibri"/>
                <w:color w:val="000000"/>
              </w:rPr>
            </w:pPr>
            <w:r w:rsidRPr="005F586E">
              <w:rPr>
                <w:rFonts w:ascii="Calibri" w:eastAsia="Times New Roman" w:hAnsi="Calibri" w:cs="Calibri"/>
                <w:color w:val="000000"/>
              </w:rPr>
              <w:t>Manufacturer's Equipment Information</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xml:space="preserve">Drawings, illustrations and product data furnished for the equipment and systems components.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t>Training Materials</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 </w:t>
            </w:r>
            <w:r>
              <w:rPr>
                <w:rFonts w:ascii="Calibri" w:eastAsia="Times New Roman" w:hAnsi="Calibri" w:cs="Calibri"/>
                <w:color w:val="000000"/>
              </w:rPr>
              <w:t xml:space="preserve">Training plans, materials, and other data used during contractors and systems training.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nil"/>
              <w:left w:val="single" w:sz="12" w:space="0" w:color="auto"/>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3482" w:type="dxa"/>
            <w:tcBorders>
              <w:top w:val="nil"/>
              <w:left w:val="nil"/>
              <w:bottom w:val="single" w:sz="4" w:space="0" w:color="auto"/>
              <w:right w:val="single" w:sz="4" w:space="0" w:color="auto"/>
            </w:tcBorders>
            <w:shd w:val="clear" w:color="auto" w:fill="auto"/>
            <w:vAlign w:val="center"/>
            <w:hideMark/>
          </w:tcPr>
          <w:p w:rsidR="003B6B7F" w:rsidRPr="005F586E" w:rsidRDefault="003B6B7F" w:rsidP="00166A1E">
            <w:pPr>
              <w:spacing w:after="0" w:line="240" w:lineRule="auto"/>
              <w:rPr>
                <w:rFonts w:ascii="Calibri" w:eastAsia="Times New Roman" w:hAnsi="Calibri" w:cs="Calibri"/>
                <w:color w:val="000000"/>
              </w:rPr>
            </w:pPr>
            <w:r w:rsidRPr="005F586E">
              <w:rPr>
                <w:rFonts w:ascii="Calibri" w:eastAsia="Times New Roman" w:hAnsi="Calibri" w:cs="Calibri"/>
                <w:color w:val="000000"/>
              </w:rPr>
              <w:t> </w:t>
            </w:r>
          </w:p>
        </w:tc>
        <w:tc>
          <w:tcPr>
            <w:tcW w:w="623" w:type="dxa"/>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43" w:type="dxa"/>
            <w:gridSpan w:val="2"/>
            <w:tcBorders>
              <w:top w:val="nil"/>
              <w:left w:val="nil"/>
              <w:bottom w:val="single" w:sz="4" w:space="0" w:color="auto"/>
              <w:right w:val="single" w:sz="4"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c>
          <w:tcPr>
            <w:tcW w:w="658" w:type="dxa"/>
            <w:gridSpan w:val="2"/>
            <w:tcBorders>
              <w:top w:val="nil"/>
              <w:left w:val="nil"/>
              <w:bottom w:val="single" w:sz="4" w:space="0" w:color="auto"/>
              <w:right w:val="single" w:sz="12" w:space="0" w:color="auto"/>
            </w:tcBorders>
            <w:shd w:val="clear" w:color="auto" w:fill="auto"/>
            <w:noWrap/>
            <w:vAlign w:val="center"/>
            <w:hideMark/>
          </w:tcPr>
          <w:p w:rsidR="003B6B7F" w:rsidRPr="005F586E" w:rsidRDefault="003B6B7F" w:rsidP="00166A1E">
            <w:pPr>
              <w:spacing w:after="0" w:line="240" w:lineRule="auto"/>
              <w:jc w:val="center"/>
              <w:rPr>
                <w:rFonts w:ascii="Calibri" w:eastAsia="Times New Roman" w:hAnsi="Calibri" w:cs="Calibri"/>
                <w:color w:val="000000"/>
              </w:rPr>
            </w:pPr>
          </w:p>
        </w:tc>
      </w:tr>
      <w:tr w:rsidR="003B6B7F" w:rsidRPr="005F586E" w:rsidTr="00AE6819">
        <w:trPr>
          <w:trHeight w:val="300"/>
          <w:jc w:val="center"/>
        </w:trPr>
        <w:tc>
          <w:tcPr>
            <w:tcW w:w="2679" w:type="dxa"/>
            <w:tcBorders>
              <w:top w:val="nil"/>
              <w:left w:val="single" w:sz="12" w:space="0" w:color="auto"/>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b/>
                <w:bCs/>
                <w:color w:val="000000"/>
              </w:rPr>
            </w:pPr>
            <w:r w:rsidRPr="005F586E">
              <w:rPr>
                <w:rFonts w:ascii="Calibri" w:eastAsia="Times New Roman" w:hAnsi="Calibri" w:cs="Calibri"/>
                <w:b/>
                <w:bCs/>
                <w:color w:val="000000"/>
              </w:rPr>
              <w:t>Commissioning Report</w:t>
            </w:r>
          </w:p>
        </w:tc>
        <w:tc>
          <w:tcPr>
            <w:tcW w:w="3482" w:type="dxa"/>
            <w:tcBorders>
              <w:top w:val="nil"/>
              <w:left w:val="nil"/>
              <w:bottom w:val="single" w:sz="12" w:space="0" w:color="auto"/>
              <w:right w:val="single" w:sz="4" w:space="0" w:color="auto"/>
            </w:tcBorders>
            <w:shd w:val="clear" w:color="auto" w:fill="auto"/>
            <w:vAlign w:val="center"/>
            <w:hideMark/>
          </w:tcPr>
          <w:p w:rsidR="003B6B7F" w:rsidRPr="005F586E" w:rsidRDefault="003B6B7F" w:rsidP="00DA5F00">
            <w:pPr>
              <w:keepNext/>
              <w:spacing w:after="0" w:line="240" w:lineRule="auto"/>
              <w:rPr>
                <w:rFonts w:ascii="Calibri" w:eastAsia="Times New Roman" w:hAnsi="Calibri" w:cs="Calibri"/>
                <w:color w:val="000000"/>
              </w:rPr>
            </w:pPr>
            <w:r w:rsidRPr="005F586E">
              <w:rPr>
                <w:rFonts w:ascii="Calibri" w:eastAsia="Times New Roman" w:hAnsi="Calibri" w:cs="Calibri"/>
                <w:color w:val="000000"/>
              </w:rPr>
              <w:t> </w:t>
            </w:r>
            <w:r>
              <w:rPr>
                <w:rFonts w:ascii="Calibri" w:eastAsia="Times New Roman" w:hAnsi="Calibri" w:cs="Calibri"/>
                <w:color w:val="000000"/>
              </w:rPr>
              <w:t>Copy of the Final Commissioning Report.</w:t>
            </w:r>
          </w:p>
        </w:tc>
        <w:tc>
          <w:tcPr>
            <w:tcW w:w="623" w:type="dxa"/>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43" w:type="dxa"/>
            <w:gridSpan w:val="2"/>
            <w:tcBorders>
              <w:top w:val="nil"/>
              <w:left w:val="nil"/>
              <w:bottom w:val="single" w:sz="12" w:space="0" w:color="auto"/>
              <w:right w:val="single" w:sz="4"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c>
          <w:tcPr>
            <w:tcW w:w="658" w:type="dxa"/>
            <w:gridSpan w:val="2"/>
            <w:tcBorders>
              <w:top w:val="nil"/>
              <w:left w:val="nil"/>
              <w:bottom w:val="single" w:sz="12" w:space="0" w:color="auto"/>
              <w:right w:val="single" w:sz="12" w:space="0" w:color="auto"/>
            </w:tcBorders>
            <w:shd w:val="clear" w:color="auto" w:fill="auto"/>
            <w:noWrap/>
            <w:vAlign w:val="center"/>
            <w:hideMark/>
          </w:tcPr>
          <w:p w:rsidR="003B6B7F" w:rsidRPr="005F586E" w:rsidRDefault="003B6B7F" w:rsidP="00DA5F00">
            <w:pPr>
              <w:keepNext/>
              <w:spacing w:after="0" w:line="240" w:lineRule="auto"/>
              <w:jc w:val="center"/>
              <w:rPr>
                <w:rFonts w:ascii="Calibri" w:eastAsia="Times New Roman" w:hAnsi="Calibri" w:cs="Calibri"/>
                <w:color w:val="000000"/>
              </w:rPr>
            </w:pPr>
          </w:p>
        </w:tc>
      </w:tr>
    </w:tbl>
    <w:p w:rsidR="00150699" w:rsidRDefault="00150699"/>
    <w:sectPr w:rsidR="00150699" w:rsidSect="00AE6819">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331" w:rsidRDefault="00C41331" w:rsidP="000C1420">
      <w:pPr>
        <w:spacing w:after="0" w:line="240" w:lineRule="auto"/>
      </w:pPr>
      <w:r>
        <w:separator/>
      </w:r>
    </w:p>
  </w:endnote>
  <w:endnote w:type="continuationSeparator" w:id="0">
    <w:p w:rsidR="00C41331" w:rsidRDefault="00C41331" w:rsidP="000C14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331" w:rsidRDefault="00C41331" w:rsidP="000C1420">
      <w:pPr>
        <w:spacing w:after="0" w:line="240" w:lineRule="auto"/>
      </w:pPr>
      <w:r>
        <w:separator/>
      </w:r>
    </w:p>
  </w:footnote>
  <w:footnote w:type="continuationSeparator" w:id="0">
    <w:p w:rsidR="00C41331" w:rsidRDefault="00C41331" w:rsidP="000C14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420" w:rsidRDefault="00DA5F00">
    <w:pPr>
      <w:pStyle w:val="Header"/>
    </w:pPr>
    <w:r>
      <w:rPr>
        <w:noProof/>
      </w:rPr>
      <w:drawing>
        <wp:inline distT="0" distB="0" distL="0" distR="0">
          <wp:extent cx="1828800" cy="590550"/>
          <wp:effectExtent l="19050" t="0" r="0" b="0"/>
          <wp:docPr id="1" name="Picture 1"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acobunne\Desktop\Graphic Standards\VA_Logo_Small.jpg"/>
                  <pic:cNvPicPr>
                    <a:picLocks noChangeAspect="1" noChangeArrowheads="1"/>
                  </pic:cNvPicPr>
                </pic:nvPicPr>
                <pic:blipFill>
                  <a:blip r:embed="rId1"/>
                  <a:srcRect/>
                  <a:stretch>
                    <a:fillRect/>
                  </a:stretch>
                </pic:blipFill>
                <pic:spPr bwMode="auto">
                  <a:xfrm>
                    <a:off x="0" y="0"/>
                    <a:ext cx="1828800" cy="590550"/>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5F586E"/>
    <w:rsid w:val="00007306"/>
    <w:rsid w:val="000C1420"/>
    <w:rsid w:val="00150699"/>
    <w:rsid w:val="00166A1E"/>
    <w:rsid w:val="00180E1E"/>
    <w:rsid w:val="00313D45"/>
    <w:rsid w:val="003B6B7F"/>
    <w:rsid w:val="005F586E"/>
    <w:rsid w:val="00832C4A"/>
    <w:rsid w:val="00A01639"/>
    <w:rsid w:val="00AB00CD"/>
    <w:rsid w:val="00AE6819"/>
    <w:rsid w:val="00BB06B3"/>
    <w:rsid w:val="00BB3671"/>
    <w:rsid w:val="00BB5B18"/>
    <w:rsid w:val="00C41331"/>
    <w:rsid w:val="00C72EB0"/>
    <w:rsid w:val="00D5325C"/>
    <w:rsid w:val="00DA5F00"/>
    <w:rsid w:val="00ED4B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6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C142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C1420"/>
  </w:style>
  <w:style w:type="paragraph" w:styleId="Footer">
    <w:name w:val="footer"/>
    <w:basedOn w:val="Normal"/>
    <w:link w:val="FooterChar"/>
    <w:uiPriority w:val="99"/>
    <w:semiHidden/>
    <w:unhideWhenUsed/>
    <w:rsid w:val="000C142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C1420"/>
  </w:style>
  <w:style w:type="paragraph" w:styleId="BalloonText">
    <w:name w:val="Balloon Text"/>
    <w:basedOn w:val="Normal"/>
    <w:link w:val="BalloonTextChar"/>
    <w:uiPriority w:val="99"/>
    <w:semiHidden/>
    <w:unhideWhenUsed/>
    <w:rsid w:val="000C1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14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774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6C200-50C9-4CBE-973E-D5827669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M</dc:title>
  <dc:subject>design manual</dc:subject>
  <dc:creator>Department of Veterans Affairs; Office of Acquisitions, Logistics &amp; Construction; Office of Construction &amp; Facilities Management; Office of Facilities Planning; Facilities Standards Service;</dc:creator>
  <cp:lastModifiedBy>Elizabeth Bunn</cp:lastModifiedBy>
  <cp:revision>7</cp:revision>
  <dcterms:created xsi:type="dcterms:W3CDTF">2010-06-15T12:59:00Z</dcterms:created>
  <dcterms:modified xsi:type="dcterms:W3CDTF">2013-08-16T20:16:00Z</dcterms:modified>
</cp:coreProperties>
</file>