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10" w:rsidRDefault="00702A10" w:rsidP="00702A10">
      <w:pPr>
        <w:pStyle w:val="SpecTitle"/>
        <w:outlineLvl w:val="0"/>
      </w:pPr>
      <w:r>
        <w:t>SECTION 11 53 71</w:t>
      </w:r>
      <w:r>
        <w:br/>
        <w:t>SOLUTION WARMING CABINETS</w:t>
      </w:r>
    </w:p>
    <w:p w:rsidR="00702A10" w:rsidRDefault="00702A10" w:rsidP="00702A10">
      <w:pPr>
        <w:pStyle w:val="SpecNormal"/>
      </w:pPr>
    </w:p>
    <w:p w:rsidR="00702A10" w:rsidRDefault="00702A10" w:rsidP="00702A10">
      <w:pPr>
        <w:pStyle w:val="SpecNote"/>
        <w:outlineLvl w:val="9"/>
      </w:pPr>
      <w:r>
        <w:t>SPEC WRITER NOTE: Delete items or paragraphs in the section that are not applicable and renumber the paragraphs.</w:t>
      </w:r>
    </w:p>
    <w:p w:rsidR="00702A10" w:rsidRDefault="00702A10" w:rsidP="00702A10">
      <w:pPr>
        <w:pStyle w:val="SpecNote"/>
        <w:outlineLvl w:val="9"/>
      </w:pPr>
    </w:p>
    <w:p w:rsidR="00702A10" w:rsidRDefault="00702A10" w:rsidP="00702A10">
      <w:pPr>
        <w:pStyle w:val="PART"/>
        <w:numPr>
          <w:ilvl w:val="0"/>
          <w:numId w:val="1"/>
        </w:numPr>
      </w:pPr>
      <w:r>
        <w:t>GENERAL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>DESCRIPTION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This section specifies two-compartment, solution warming cabinets for warming and storing solutions in flasks.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RELATED WORK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Section 26 05 11, REQUIREMENTS FOR ELECTRICAL INSTALLATIONS: Electrical Connections.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QUALITY control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Manufacturer Qualifications: Manufacturer regularly and presently manufactures solution warming cabinets.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Electrical Components and Devices: UL listed and labeled for intended use.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SUBMITTALS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Submit in accordance with Section 01 33 23, SHOP DRAWINGS, PRODUCT DATA, AND SAMPLES.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Manufacturer's Literature and Data: Include illustrations and descriptions of solution warming cabinets.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Field Test Reports: Indicate dates and times of tests and certify test results.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APPLICABLE PUBLICATIONS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The publications listed below form a part of this specification to the extent referenced. The publications are referenced in the text by the basic designation only.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Scientific Equipment and Furniture Association (SEFA):</w:t>
      </w:r>
    </w:p>
    <w:p w:rsidR="00702A10" w:rsidRDefault="00702A10" w:rsidP="00702A10">
      <w:pPr>
        <w:pStyle w:val="Pubs"/>
      </w:pPr>
      <w:r>
        <w:t>2-10</w:t>
      </w:r>
      <w:r>
        <w:tab/>
        <w:t>Recommended Practices for Installation of Scientific Laboratory Furniture and Equipment</w:t>
      </w:r>
    </w:p>
    <w:p w:rsidR="00702A10" w:rsidRDefault="00702A10" w:rsidP="00702A10">
      <w:pPr>
        <w:pStyle w:val="PART"/>
        <w:numPr>
          <w:ilvl w:val="0"/>
          <w:numId w:val="1"/>
        </w:numPr>
      </w:pPr>
      <w:r>
        <w:t>PRODUCTS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SOLUTION WARMING CABINETS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Description: Two-compartment, solution warming cabinets with the following characteristics: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Double-wall stainless-steel construction insulated with not less than 25 mm (1 inch) of fiberglass or equivalent material.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lastRenderedPageBreak/>
        <w:t>Electrically heated upper and lower compartments capable of maintaining solutions at set temperature between 49 and 57 degrees C (</w:t>
      </w:r>
      <w:proofErr w:type="gramStart"/>
      <w:r>
        <w:t>120 and 135 degrees</w:t>
      </w:r>
      <w:proofErr w:type="gramEnd"/>
      <w:r>
        <w:t xml:space="preserve"> F).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Upper-compartment capacity of not less than 20 two-liter flasks, and lower-compartment capacity of not less than 60 two-liter flasks.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Components: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Door: Insulated with heat-resistant gasket for each compartment.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Shelving: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t>One stainless-steel adjustable shelf with 6 mm (1/4 inch) minimum perforated holes in upper compartment.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t>Two stainless-steel, removable, adjustable shelves in lower compartment.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Control: Automatic with the following components: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t>Power switch.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t>Heat-indicating light.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t>Over temperature protection and indicating light with audible alarm.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t>Thermostatic temperature control.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Over-temperature Control: Automatically shuts off heating unit when temperature of solutions exceeds set temperature by 6 degrees C (10 degrees F).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Air-Circulating Fans: Maintain temperature uniformity in upper and lower compartments.</w:t>
      </w:r>
    </w:p>
    <w:p w:rsidR="00702A10" w:rsidRDefault="00702A10" w:rsidP="00702A10">
      <w:pPr>
        <w:pStyle w:val="PART"/>
        <w:numPr>
          <w:ilvl w:val="0"/>
          <w:numId w:val="1"/>
        </w:numPr>
      </w:pPr>
      <w:r>
        <w:t>EXECUTION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INSTALLATION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Install solution warming cabinets according to manufacturer's written instructions and relevant requirements in SEFA 2.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TESTS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Field test installed solution warming cabinets to verify proper operation.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Test Procedure: Fill 20 two-liter flasks with water at 21 degrees C (70 degrees F), and place in upper compartment. Insert thermocouple into two center flasks and connect to recording potentiometer.</w:t>
      </w:r>
    </w:p>
    <w:p w:rsidR="00702A10" w:rsidRDefault="00702A10" w:rsidP="00702A10">
      <w:pPr>
        <w:pStyle w:val="Level2"/>
        <w:numPr>
          <w:ilvl w:val="3"/>
          <w:numId w:val="1"/>
        </w:numPr>
      </w:pPr>
      <w:r>
        <w:t>Test Performance: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t>After 8 hours, potentiometer shall indicate temperature of 57 degrees C (135 degrees F), plus or minus 6 degrees C (10 degrees F).</w:t>
      </w:r>
    </w:p>
    <w:p w:rsidR="00702A10" w:rsidRDefault="00702A10" w:rsidP="00702A10">
      <w:pPr>
        <w:pStyle w:val="Level3"/>
        <w:numPr>
          <w:ilvl w:val="4"/>
          <w:numId w:val="1"/>
        </w:numPr>
      </w:pPr>
      <w:r>
        <w:lastRenderedPageBreak/>
        <w:t>At no time during the 8-hour test period shall potentiometer indicate that the water temperature exceeded 63 degrees C (145 degrees F).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 xml:space="preserve">For units that fail testing, </w:t>
      </w:r>
      <w:proofErr w:type="gramStart"/>
      <w:r>
        <w:t>make adjustments</w:t>
      </w:r>
      <w:proofErr w:type="gramEnd"/>
      <w:r>
        <w:t xml:space="preserve"> and corrections to installation, or replace equipment, and repeat tests until equipment complies with requirements.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PROTECTING AND CLEANING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Protect equipment from dirt, water, and chemical or mechanical injury during the remainder of the construction period.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At the completion of work, clean equipment as required to produce ready-for-use condition.</w:t>
      </w:r>
    </w:p>
    <w:p w:rsidR="00702A10" w:rsidRDefault="00702A10" w:rsidP="00702A10">
      <w:pPr>
        <w:pStyle w:val="ArticleB"/>
        <w:numPr>
          <w:ilvl w:val="1"/>
          <w:numId w:val="1"/>
        </w:numPr>
        <w:outlineLvl w:val="1"/>
      </w:pPr>
      <w:r>
        <w:t xml:space="preserve"> OPERATING INSTRUCTIONS</w:t>
      </w:r>
    </w:p>
    <w:p w:rsidR="00702A10" w:rsidRDefault="00702A10" w:rsidP="00702A10">
      <w:pPr>
        <w:pStyle w:val="Level1"/>
        <w:numPr>
          <w:ilvl w:val="2"/>
          <w:numId w:val="1"/>
        </w:numPr>
      </w:pPr>
      <w:r>
        <w:t>Instruct personnel and transmit operating instructions in accordance with requirements in Section 01 00 00, GENERAL REQUIREMENTS.</w:t>
      </w:r>
    </w:p>
    <w:p w:rsidR="00702A10" w:rsidRDefault="00702A10" w:rsidP="00702A10">
      <w:pPr>
        <w:pStyle w:val="SpecNormal"/>
        <w:jc w:val="center"/>
      </w:pPr>
      <w:r>
        <w:t>- - - E N D - - -</w:t>
      </w:r>
    </w:p>
    <w:p w:rsidR="00702A10" w:rsidRDefault="00702A10"/>
    <w:p w:rsidR="006744F2" w:rsidRPr="00702A10" w:rsidRDefault="00016442" w:rsidP="00702A10">
      <w:pPr>
        <w:tabs>
          <w:tab w:val="left" w:pos="3899"/>
        </w:tabs>
      </w:pPr>
    </w:p>
    <w:sectPr w:rsidR="006744F2" w:rsidRPr="0070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42" w:rsidRDefault="00016442" w:rsidP="00702A10">
      <w:pPr>
        <w:spacing w:line="240" w:lineRule="auto"/>
      </w:pPr>
      <w:r>
        <w:separator/>
      </w:r>
    </w:p>
  </w:endnote>
  <w:endnote w:type="continuationSeparator" w:id="0">
    <w:p w:rsidR="00016442" w:rsidRDefault="00016442" w:rsidP="00702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D8E" w:rsidRDefault="00D42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38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A10" w:rsidRDefault="00702A10" w:rsidP="00702A10">
        <w:pPr>
          <w:pStyle w:val="Footer"/>
        </w:pPr>
        <w:r>
          <w:t>11 53 71 -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D8E" w:rsidRDefault="00D42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42" w:rsidRDefault="00016442" w:rsidP="00702A10">
      <w:pPr>
        <w:spacing w:line="240" w:lineRule="auto"/>
      </w:pPr>
      <w:r>
        <w:separator/>
      </w:r>
    </w:p>
  </w:footnote>
  <w:footnote w:type="continuationSeparator" w:id="0">
    <w:p w:rsidR="00016442" w:rsidRDefault="00016442" w:rsidP="00702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D8E" w:rsidRDefault="00D42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A10" w:rsidRDefault="00702A10" w:rsidP="00702A10">
    <w:pPr>
      <w:pStyle w:val="Header"/>
    </w:pPr>
    <w:r>
      <w:t>0</w:t>
    </w:r>
    <w:r w:rsidR="00D42D8E">
      <w:t>1</w:t>
    </w:r>
    <w:r>
      <w:t>-0</w:t>
    </w:r>
    <w:r w:rsidR="00D42D8E">
      <w:t>1</w:t>
    </w:r>
    <w:r>
      <w:t>-2</w:t>
    </w:r>
    <w:r w:rsidR="00D42D8E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D8E" w:rsidRDefault="00D42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0FF27C2"/>
    <w:multiLevelType w:val="multilevel"/>
    <w:tmpl w:val="C96A99F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cs="Times New Roman" w:hint="default"/>
        <w:b/>
        <w:i w:val="0"/>
        <w:sz w:val="20"/>
      </w:rPr>
    </w:lvl>
    <w:lvl w:ilvl="1">
      <w:start w:val="5"/>
      <w:numFmt w:val="decimal"/>
      <w:suff w:val="nothing"/>
      <w:lvlText w:val="%1.%2 "/>
      <w:lvlJc w:val="left"/>
      <w:pPr>
        <w:ind w:left="180" w:firstLine="0"/>
      </w:pPr>
      <w:rPr>
        <w:rFonts w:ascii="Courier New" w:hAnsi="Courier New" w:cs="Times New Roman" w:hint="default"/>
        <w:b/>
        <w:i w:val="0"/>
        <w:caps/>
        <w:sz w:val="20"/>
      </w:rPr>
    </w:lvl>
    <w:lvl w:ilvl="2">
      <w:start w:val="9"/>
      <w:numFmt w:val="upperLetter"/>
      <w:suff w:val="nothing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sz w:val="20"/>
      </w:rPr>
    </w:lvl>
    <w:lvl w:ilvl="7">
      <w:start w:val="2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cs="Times New Roman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10"/>
    <w:rsid w:val="00016442"/>
    <w:rsid w:val="00131789"/>
    <w:rsid w:val="0017145B"/>
    <w:rsid w:val="001D21E1"/>
    <w:rsid w:val="00351BF0"/>
    <w:rsid w:val="00491355"/>
    <w:rsid w:val="00702A10"/>
    <w:rsid w:val="007C39D7"/>
    <w:rsid w:val="00AC7645"/>
    <w:rsid w:val="00D42D8E"/>
    <w:rsid w:val="00D67C02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6541D-D571-4A0E-AA45-A5D106C5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5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1355"/>
    <w:pPr>
      <w:keepNext/>
      <w:numPr>
        <w:numId w:val="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91355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1355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ArticleB"/>
    <w:next w:val="ArticleB"/>
    <w:qFormat/>
    <w:rsid w:val="00491355"/>
    <w:pPr>
      <w:keepLines w:val="0"/>
      <w:numPr>
        <w:ilvl w:val="0"/>
      </w:numPr>
      <w:outlineLvl w:val="0"/>
    </w:pPr>
  </w:style>
  <w:style w:type="paragraph" w:customStyle="1" w:styleId="Level3">
    <w:name w:val="Level3"/>
    <w:basedOn w:val="Level2"/>
    <w:link w:val="Level3Char"/>
    <w:rsid w:val="00491355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491355"/>
    <w:rPr>
      <w:rFonts w:ascii="Courier New" w:eastAsia="Times New Roman" w:hAnsi="Courier New" w:cs="Times New Roman"/>
      <w:sz w:val="20"/>
      <w:szCs w:val="20"/>
    </w:rPr>
  </w:style>
  <w:style w:type="paragraph" w:customStyle="1" w:styleId="Level6">
    <w:name w:val="Level 6"/>
    <w:basedOn w:val="Normal"/>
    <w:rsid w:val="00351BF0"/>
    <w:pPr>
      <w:numPr>
        <w:ilvl w:val="7"/>
        <w:numId w:val="3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</w:pPr>
  </w:style>
  <w:style w:type="paragraph" w:styleId="Header">
    <w:name w:val="header"/>
    <w:basedOn w:val="SpecNormal"/>
    <w:link w:val="HeaderChar"/>
    <w:rsid w:val="00491355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702A10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Header"/>
    <w:link w:val="FooterChar"/>
    <w:rsid w:val="00491355"/>
    <w:pPr>
      <w:jc w:val="center"/>
    </w:pPr>
  </w:style>
  <w:style w:type="character" w:customStyle="1" w:styleId="FooterChar">
    <w:name w:val="Footer Char"/>
    <w:basedOn w:val="DefaultParagraphFont"/>
    <w:link w:val="Footer"/>
    <w:rsid w:val="00702A10"/>
    <w:rPr>
      <w:rFonts w:ascii="Courier New" w:eastAsia="Times New Roman" w:hAnsi="Courier New" w:cs="Times New Roman"/>
      <w:sz w:val="20"/>
      <w:szCs w:val="20"/>
    </w:rPr>
  </w:style>
  <w:style w:type="paragraph" w:customStyle="1" w:styleId="ArticleB">
    <w:name w:val="ArticleB"/>
    <w:basedOn w:val="Article"/>
    <w:next w:val="Level1"/>
    <w:rsid w:val="00491355"/>
    <w:pPr>
      <w:numPr>
        <w:ilvl w:val="1"/>
        <w:numId w:val="14"/>
      </w:numPr>
    </w:pPr>
    <w:rPr>
      <w:b/>
    </w:rPr>
  </w:style>
  <w:style w:type="paragraph" w:customStyle="1" w:styleId="Level1">
    <w:name w:val="Level1"/>
    <w:basedOn w:val="SpecNormal"/>
    <w:link w:val="Level1Char1"/>
    <w:rsid w:val="00491355"/>
    <w:pPr>
      <w:numPr>
        <w:ilvl w:val="2"/>
        <w:numId w:val="14"/>
      </w:numPr>
      <w:tabs>
        <w:tab w:val="left" w:pos="720"/>
      </w:tabs>
    </w:pPr>
  </w:style>
  <w:style w:type="paragraph" w:customStyle="1" w:styleId="SpecNormal">
    <w:name w:val="SpecNormal"/>
    <w:basedOn w:val="Normal"/>
    <w:link w:val="SpecNormalChar1"/>
    <w:rsid w:val="00491355"/>
    <w:pPr>
      <w:suppressAutoHyphens/>
    </w:pPr>
  </w:style>
  <w:style w:type="paragraph" w:customStyle="1" w:styleId="Level2">
    <w:name w:val="Level2"/>
    <w:basedOn w:val="Level1"/>
    <w:link w:val="Level2Char1"/>
    <w:rsid w:val="00491355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491355"/>
    <w:pPr>
      <w:spacing w:line="240" w:lineRule="auto"/>
      <w:ind w:left="4320"/>
      <w:outlineLvl w:val="0"/>
    </w:pPr>
  </w:style>
  <w:style w:type="paragraph" w:customStyle="1" w:styleId="Level4">
    <w:name w:val="Level4"/>
    <w:basedOn w:val="Level3"/>
    <w:rsid w:val="00491355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491355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491355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491355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character" w:customStyle="1" w:styleId="SpecNormalChar1">
    <w:name w:val="SpecNormal Char1"/>
    <w:link w:val="SpecNormal"/>
    <w:rsid w:val="00491355"/>
    <w:rPr>
      <w:rFonts w:ascii="Courier New" w:eastAsia="Times New Roman" w:hAnsi="Courier New" w:cs="Times New Roman"/>
      <w:sz w:val="20"/>
      <w:szCs w:val="20"/>
    </w:rPr>
  </w:style>
  <w:style w:type="character" w:customStyle="1" w:styleId="Level1Char1">
    <w:name w:val="Level1 Char1"/>
    <w:basedOn w:val="SpecNormalChar1"/>
    <w:link w:val="Level1"/>
    <w:rsid w:val="00491355"/>
    <w:rPr>
      <w:rFonts w:ascii="Courier New" w:eastAsia="Times New Roman" w:hAnsi="Courier New" w:cs="Times New Roman"/>
      <w:sz w:val="20"/>
      <w:szCs w:val="20"/>
    </w:rPr>
  </w:style>
  <w:style w:type="character" w:customStyle="1" w:styleId="Level2Char1">
    <w:name w:val="Level2 Char1"/>
    <w:basedOn w:val="Level1Char1"/>
    <w:link w:val="Level2"/>
    <w:rsid w:val="00491355"/>
    <w:rPr>
      <w:rFonts w:ascii="Courier New" w:eastAsia="Times New Roman" w:hAnsi="Courier New" w:cs="Times New Roman"/>
      <w:sz w:val="20"/>
      <w:szCs w:val="20"/>
    </w:rPr>
  </w:style>
  <w:style w:type="character" w:customStyle="1" w:styleId="SpecNoteChar1">
    <w:name w:val="SpecNote Char1"/>
    <w:basedOn w:val="SpecNormalChar1"/>
    <w:link w:val="SpecNote"/>
    <w:rsid w:val="00491355"/>
    <w:rPr>
      <w:rFonts w:ascii="Courier New" w:eastAsia="Times New Roman" w:hAnsi="Courier New" w:cs="Times New Roman"/>
      <w:sz w:val="20"/>
      <w:szCs w:val="20"/>
    </w:rPr>
  </w:style>
  <w:style w:type="paragraph" w:customStyle="1" w:styleId="Article">
    <w:name w:val="Article"/>
    <w:basedOn w:val="Normal"/>
    <w:next w:val="Level1"/>
    <w:rsid w:val="00491355"/>
    <w:pPr>
      <w:keepNext/>
      <w:keepLines/>
      <w:suppressAutoHyphens/>
    </w:pPr>
    <w:rPr>
      <w:caps/>
    </w:rPr>
  </w:style>
  <w:style w:type="paragraph" w:styleId="BalloonText">
    <w:name w:val="Balloon Text"/>
    <w:basedOn w:val="Normal"/>
    <w:link w:val="BalloonTextChar"/>
    <w:rsid w:val="004913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135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9135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913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91355"/>
    <w:rPr>
      <w:rFonts w:ascii="Arial" w:eastAsia="Times New Roman" w:hAnsi="Arial" w:cs="Arial"/>
      <w:b/>
      <w:bCs/>
      <w:sz w:val="26"/>
      <w:szCs w:val="26"/>
    </w:rPr>
  </w:style>
  <w:style w:type="paragraph" w:customStyle="1" w:styleId="Level60">
    <w:name w:val="Level6"/>
    <w:basedOn w:val="Normal"/>
    <w:rsid w:val="00491355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SpecNormalCentered">
    <w:name w:val="SpecNormal + Centered"/>
    <w:basedOn w:val="SpecNormal"/>
    <w:qFormat/>
    <w:rsid w:val="00491355"/>
    <w:pPr>
      <w:jc w:val="center"/>
    </w:pPr>
  </w:style>
  <w:style w:type="paragraph" w:customStyle="1" w:styleId="SpecNoteNumbered">
    <w:name w:val="SpecNote Numbered"/>
    <w:basedOn w:val="SpecNote"/>
    <w:rsid w:val="00491355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491355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tyle1">
    <w:name w:val="Style1"/>
    <w:basedOn w:val="PART"/>
    <w:next w:val="ArticleB"/>
    <w:qFormat/>
    <w:rsid w:val="00491355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3161</Characters>
  <Application>Microsoft Office Word</Application>
  <DocSecurity>0</DocSecurity>
  <Lines>126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 53 71, SOLUTION WARMING CABINETS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5</cp:revision>
  <dcterms:created xsi:type="dcterms:W3CDTF">2020-12-14T21:45:00Z</dcterms:created>
  <dcterms:modified xsi:type="dcterms:W3CDTF">2020-12-15T02:15:00Z</dcterms:modified>
</cp:coreProperties>
</file>